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AD4421" w:rsidRDefault="0056592D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4421">
        <w:rPr>
          <w:rFonts w:ascii="Times New Roman" w:hAnsi="Times New Roman" w:cs="Times New Roman"/>
          <w:b/>
          <w:bCs/>
          <w:sz w:val="28"/>
          <w:szCs w:val="28"/>
        </w:rPr>
        <w:t>РОЗНИЧНАЯ ТОРГОВЛЯ</w:t>
      </w:r>
    </w:p>
    <w:p w:rsidR="00300115" w:rsidRPr="00554D8B" w:rsidRDefault="00300115" w:rsidP="0030011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color w:val="1F497D" w:themeColor="text2"/>
          <w:lang w:eastAsia="ru-RU"/>
        </w:rPr>
      </w:pPr>
      <w:r w:rsidRPr="00554D8B">
        <w:rPr>
          <w:rFonts w:ascii="Times New Roman" w:eastAsia="Times New Roman" w:hAnsi="Times New Roman" w:cs="Times New Roman"/>
          <w:bCs/>
          <w:lang w:eastAsia="ru-RU"/>
        </w:rPr>
        <w:t>Оборот розничной торговли в мае 2020 года составил 176,3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 xml:space="preserve"> миллиарда рублей, что составило 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79 процентов 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 xml:space="preserve">(в сопоставимых ценах) 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>к соответствующему периоду предыдущего года, в январе-мае 2020 года – 975,</w:t>
      </w:r>
      <w:r w:rsidR="00060A65" w:rsidRPr="00554D8B">
        <w:rPr>
          <w:rFonts w:ascii="Times New Roman" w:eastAsia="Times New Roman" w:hAnsi="Times New Roman" w:cs="Times New Roman"/>
          <w:bCs/>
          <w:lang w:eastAsia="ru-RU"/>
        </w:rPr>
        <w:t>8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47E29" w:rsidRPr="00554D8B">
        <w:rPr>
          <w:rFonts w:ascii="Times New Roman" w:eastAsia="Times New Roman" w:hAnsi="Times New Roman" w:cs="Times New Roman"/>
          <w:bCs/>
          <w:lang w:eastAsia="ru-RU"/>
        </w:rPr>
        <w:t>миллиарда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 xml:space="preserve"> рублей и </w:t>
      </w:r>
      <w:r w:rsidR="00060A65" w:rsidRPr="00554D8B">
        <w:rPr>
          <w:rFonts w:ascii="Times New Roman" w:eastAsia="Times New Roman" w:hAnsi="Times New Roman" w:cs="Times New Roman"/>
          <w:bCs/>
          <w:lang w:eastAsia="ru-RU"/>
        </w:rPr>
        <w:t xml:space="preserve">95,1 </w:t>
      </w:r>
      <w:r w:rsidRPr="00554D8B">
        <w:rPr>
          <w:rFonts w:ascii="Times New Roman" w:eastAsia="Times New Roman" w:hAnsi="Times New Roman" w:cs="Times New Roman"/>
          <w:bCs/>
          <w:lang w:eastAsia="ru-RU"/>
        </w:rPr>
        <w:t>процента.</w:t>
      </w:r>
    </w:p>
    <w:p w:rsidR="00A05272" w:rsidRPr="00554D8B" w:rsidRDefault="00A05272" w:rsidP="001E3E1D">
      <w:pPr>
        <w:spacing w:line="240" w:lineRule="auto"/>
        <w:rPr>
          <w:rFonts w:ascii="Times New Roman" w:hAnsi="Times New Roman" w:cs="Times New Roman"/>
        </w:rPr>
      </w:pPr>
    </w:p>
    <w:p w:rsidR="007403D3" w:rsidRPr="00554D8B" w:rsidRDefault="007403D3" w:rsidP="00DC3FF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="00930EA0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оборота розничной торговли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403D3" w:rsidRDefault="007403D3" w:rsidP="007403D3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03D3" w:rsidRDefault="007403D3" w:rsidP="00F34CAF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1"/>
          <w:lang w:eastAsia="ru-RU"/>
        </w:rPr>
      </w:pPr>
    </w:p>
    <w:p w:rsidR="00CF407E" w:rsidRPr="00554D8B" w:rsidRDefault="00CF407E" w:rsidP="00CF407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554D8B">
        <w:rPr>
          <w:rFonts w:ascii="Times New Roman" w:hAnsi="Times New Roman" w:cs="Times New Roman"/>
        </w:rPr>
        <w:t>В мае 2020</w:t>
      </w:r>
      <w:r w:rsidRPr="00554D8B">
        <w:rPr>
          <w:rFonts w:ascii="Times New Roman" w:hAnsi="Times New Roman" w:cs="Times New Roman"/>
          <w:i/>
          <w:sz w:val="24"/>
        </w:rPr>
        <w:t> </w:t>
      </w:r>
      <w:r w:rsidRPr="00554D8B">
        <w:rPr>
          <w:rFonts w:ascii="Times New Roman" w:hAnsi="Times New Roman" w:cs="Times New Roman"/>
        </w:rPr>
        <w:t>года оборот розничной торговли на 98,9%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1,1% (в мае 2019</w:t>
      </w:r>
      <w:r w:rsidRPr="00554D8B">
        <w:rPr>
          <w:rFonts w:ascii="Times New Roman" w:hAnsi="Times New Roman" w:cs="Times New Roman"/>
          <w:i/>
          <w:sz w:val="24"/>
        </w:rPr>
        <w:t> </w:t>
      </w:r>
      <w:r w:rsidRPr="00554D8B">
        <w:rPr>
          <w:rFonts w:ascii="Times New Roman" w:hAnsi="Times New Roman" w:cs="Times New Roman"/>
        </w:rPr>
        <w:t xml:space="preserve">года </w:t>
      </w:r>
      <w:r w:rsidR="00060A65" w:rsidRPr="00554D8B">
        <w:rPr>
          <w:rFonts w:ascii="Times New Roman" w:hAnsi="Times New Roman" w:cs="Times New Roman"/>
        </w:rPr>
        <w:t>–</w:t>
      </w:r>
      <w:r w:rsidRPr="00554D8B">
        <w:rPr>
          <w:rFonts w:ascii="Times New Roman" w:hAnsi="Times New Roman" w:cs="Times New Roman"/>
        </w:rPr>
        <w:t xml:space="preserve"> </w:t>
      </w:r>
      <w:r w:rsidR="00060A65" w:rsidRPr="00554D8B">
        <w:rPr>
          <w:rFonts w:ascii="Times New Roman" w:hAnsi="Times New Roman" w:cs="Times New Roman"/>
        </w:rPr>
        <w:t xml:space="preserve">98,6 </w:t>
      </w:r>
      <w:r w:rsidRPr="00554D8B">
        <w:rPr>
          <w:rFonts w:ascii="Times New Roman" w:hAnsi="Times New Roman" w:cs="Times New Roman"/>
        </w:rPr>
        <w:t xml:space="preserve">% и </w:t>
      </w:r>
      <w:r w:rsidR="00060A65" w:rsidRPr="00554D8B">
        <w:rPr>
          <w:rFonts w:ascii="Times New Roman" w:hAnsi="Times New Roman" w:cs="Times New Roman"/>
        </w:rPr>
        <w:t xml:space="preserve">1,4 </w:t>
      </w:r>
      <w:r w:rsidRPr="00554D8B">
        <w:rPr>
          <w:rFonts w:ascii="Times New Roman" w:hAnsi="Times New Roman" w:cs="Times New Roman"/>
        </w:rPr>
        <w:t>% соответственно).</w:t>
      </w:r>
    </w:p>
    <w:p w:rsidR="00CF407E" w:rsidRPr="00554D8B" w:rsidRDefault="00CF407E" w:rsidP="00554D8B">
      <w:pPr>
        <w:pStyle w:val="33"/>
        <w:keepNext w:val="0"/>
        <w:pageBreakBefore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554D8B">
        <w:rPr>
          <w:bCs/>
          <w:sz w:val="28"/>
          <w:szCs w:val="28"/>
        </w:rPr>
        <w:lastRenderedPageBreak/>
        <w:t xml:space="preserve">Оборот розничной торговли торгующих организаций </w:t>
      </w:r>
      <w:r w:rsidRPr="00554D8B">
        <w:rPr>
          <w:bCs/>
          <w:sz w:val="28"/>
          <w:szCs w:val="28"/>
        </w:rPr>
        <w:br/>
        <w:t>и продажа товаров на розничных рынках и ярмарках</w:t>
      </w:r>
    </w:p>
    <w:tbl>
      <w:tblPr>
        <w:tblStyle w:val="af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1336"/>
        <w:gridCol w:w="1560"/>
        <w:gridCol w:w="1559"/>
        <w:gridCol w:w="1417"/>
        <w:gridCol w:w="1892"/>
      </w:tblGrid>
      <w:tr w:rsidR="008C28F5" w:rsidTr="00554D8B">
        <w:trPr>
          <w:trHeight w:val="113"/>
        </w:trPr>
        <w:tc>
          <w:tcPr>
            <w:tcW w:w="2066" w:type="dxa"/>
            <w:vMerge w:val="restart"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:rsidR="008C28F5" w:rsidRPr="00554D8B" w:rsidRDefault="00554D8B" w:rsidP="008C28F5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8C28F5" w:rsidRPr="00554D8B">
              <w:rPr>
                <w:rFonts w:ascii="Times New Roman" w:hAnsi="Times New Roman" w:cs="Times New Roman"/>
                <w:b/>
              </w:rPr>
              <w:t>ай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8C28F5" w:rsidRPr="00554D8B" w:rsidRDefault="00554D8B" w:rsidP="00E47E29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47E29" w:rsidRPr="00554D8B">
              <w:rPr>
                <w:rFonts w:ascii="Times New Roman" w:hAnsi="Times New Roman" w:cs="Times New Roman"/>
                <w:b/>
              </w:rPr>
              <w:t xml:space="preserve"> сопоставимых ценах </w:t>
            </w:r>
            <w:proofErr w:type="gramStart"/>
            <w:r w:rsidR="00E47E29" w:rsidRPr="00554D8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8C28F5" w:rsidRPr="00554D8B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C28F5" w:rsidRPr="00554D8B" w:rsidRDefault="00554D8B" w:rsidP="008C28F5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8C28F5" w:rsidRPr="00554D8B">
              <w:rPr>
                <w:rFonts w:ascii="Times New Roman" w:hAnsi="Times New Roman" w:cs="Times New Roman"/>
                <w:b/>
              </w:rPr>
              <w:t>нварь-май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8C28F5" w:rsidRPr="00554D8B" w:rsidRDefault="00554D8B" w:rsidP="008C28F5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8C28F5" w:rsidRPr="00554D8B">
              <w:rPr>
                <w:rFonts w:ascii="Times New Roman" w:hAnsi="Times New Roman" w:cs="Times New Roman"/>
                <w:b/>
              </w:rPr>
              <w:t>нвар</w:t>
            </w:r>
            <w:proofErr w:type="gramStart"/>
            <w:r w:rsidR="008C28F5" w:rsidRPr="00554D8B"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 w:rsidR="008C28F5" w:rsidRPr="00554D8B">
              <w:rPr>
                <w:rFonts w:ascii="Times New Roman" w:hAnsi="Times New Roman" w:cs="Times New Roman"/>
                <w:b/>
              </w:rPr>
              <w:br/>
              <w:t xml:space="preserve">май 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>в % к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>январю-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 xml:space="preserve">маю </w:t>
            </w:r>
            <w:r w:rsidR="008C28F5" w:rsidRPr="00554D8B">
              <w:rPr>
                <w:rFonts w:ascii="Times New Roman" w:hAnsi="Times New Roman" w:cs="Times New Roman"/>
                <w:b/>
              </w:rPr>
              <w:br/>
              <w:t>2019 года</w:t>
            </w:r>
            <w:r w:rsidR="00E47E29" w:rsidRPr="00554D8B">
              <w:rPr>
                <w:rFonts w:ascii="Times New Roman" w:hAnsi="Times New Roman" w:cs="Times New Roman"/>
                <w:b/>
              </w:rPr>
              <w:br/>
              <w:t>(в сопоставимых ценах)</w:t>
            </w:r>
          </w:p>
        </w:tc>
      </w:tr>
      <w:tr w:rsidR="008C28F5" w:rsidTr="00554D8B">
        <w:trPr>
          <w:trHeight w:val="113"/>
        </w:trPr>
        <w:tc>
          <w:tcPr>
            <w:tcW w:w="2066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  <w:r w:rsidRPr="00300115">
              <w:rPr>
                <w:rFonts w:ascii="Arial" w:hAnsi="Arial" w:cs="Arial"/>
                <w:b/>
                <w:sz w:val="18"/>
                <w:szCs w:val="20"/>
              </w:rPr>
              <w:t>маю</w:t>
            </w:r>
            <w:r w:rsidRPr="00300115">
              <w:rPr>
                <w:rFonts w:ascii="Arial" w:hAnsi="Arial" w:cs="Arial"/>
                <w:b/>
                <w:sz w:val="18"/>
                <w:szCs w:val="20"/>
              </w:rPr>
              <w:br/>
              <w:t>2019 года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  <w:r w:rsidRPr="00300115">
              <w:rPr>
                <w:rFonts w:ascii="Arial" w:hAnsi="Arial" w:cs="Arial"/>
                <w:b/>
                <w:sz w:val="18"/>
                <w:szCs w:val="20"/>
              </w:rPr>
              <w:t>апрелю</w:t>
            </w:r>
            <w:r w:rsidRPr="00300115">
              <w:rPr>
                <w:rFonts w:ascii="Arial" w:hAnsi="Arial" w:cs="Arial"/>
                <w:b/>
                <w:sz w:val="18"/>
                <w:szCs w:val="20"/>
              </w:rPr>
              <w:br/>
              <w:t>2020 года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8C28F5" w:rsidRDefault="008C28F5" w:rsidP="008C28F5">
            <w:pPr>
              <w:spacing w:before="60" w:after="60"/>
              <w:jc w:val="center"/>
              <w:rPr>
                <w:lang w:eastAsia="ru-RU"/>
              </w:rPr>
            </w:pPr>
          </w:p>
        </w:tc>
      </w:tr>
      <w:tr w:rsidR="008C28F5" w:rsidTr="00554D8B">
        <w:trPr>
          <w:trHeight w:val="113"/>
        </w:trPr>
        <w:tc>
          <w:tcPr>
            <w:tcW w:w="2066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176313,3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79,0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975850,0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95,1</w:t>
            </w:r>
          </w:p>
        </w:tc>
      </w:tr>
      <w:tr w:rsidR="008C28F5" w:rsidTr="00554D8B">
        <w:trPr>
          <w:trHeight w:val="113"/>
        </w:trPr>
        <w:tc>
          <w:tcPr>
            <w:tcW w:w="2066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28F5" w:rsidTr="00554D8B">
        <w:trPr>
          <w:trHeight w:val="113"/>
        </w:trPr>
        <w:tc>
          <w:tcPr>
            <w:tcW w:w="2066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>оборот розничной  торговли  торгующих организаций</w:t>
            </w:r>
            <w:r w:rsidRPr="00554D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54D8B">
              <w:rPr>
                <w:rFonts w:ascii="Times New Roman" w:hAnsi="Times New Roman" w:cs="Times New Roman"/>
              </w:rPr>
              <w:t>и индивидуальные предприниматели, реализующие товары вне рынка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175020,2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109,6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965203,4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95,3</w:t>
            </w:r>
          </w:p>
        </w:tc>
      </w:tr>
      <w:tr w:rsidR="008C28F5" w:rsidTr="00554D8B">
        <w:trPr>
          <w:trHeight w:val="113"/>
        </w:trPr>
        <w:tc>
          <w:tcPr>
            <w:tcW w:w="2066" w:type="dxa"/>
            <w:shd w:val="clear" w:color="auto" w:fill="FFFFFF" w:themeFill="background1"/>
            <w:vAlign w:val="bottom"/>
          </w:tcPr>
          <w:p w:rsidR="008C28F5" w:rsidRPr="00554D8B" w:rsidRDefault="008C28F5" w:rsidP="008C28F5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</w:rPr>
              <w:t xml:space="preserve">продажа товаров на розничных </w:t>
            </w:r>
            <w:r w:rsidRPr="00554D8B">
              <w:rPr>
                <w:rFonts w:ascii="Times New Roman" w:hAnsi="Times New Roman" w:cs="Times New Roman"/>
              </w:rPr>
              <w:br/>
              <w:t>рынках и ярмарках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1293,1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44,7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10646,6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8C28F5" w:rsidRPr="00554D8B" w:rsidRDefault="00060A65" w:rsidP="008C28F5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4D8B">
              <w:rPr>
                <w:rFonts w:ascii="Times New Roman" w:hAnsi="Times New Roman" w:cs="Times New Roman"/>
                <w:lang w:eastAsia="ru-RU"/>
              </w:rPr>
              <w:t>75,0</w:t>
            </w:r>
          </w:p>
        </w:tc>
      </w:tr>
    </w:tbl>
    <w:p w:rsidR="008C28F5" w:rsidRPr="008C28F5" w:rsidRDefault="008C28F5" w:rsidP="008C28F5">
      <w:pPr>
        <w:rPr>
          <w:lang w:eastAsia="ru-RU"/>
        </w:rPr>
      </w:pPr>
    </w:p>
    <w:p w:rsidR="00F34CAF" w:rsidRPr="00554D8B" w:rsidRDefault="00F34CAF" w:rsidP="008C28F5">
      <w:pPr>
        <w:spacing w:after="24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оборота розничной торговли </w:t>
      </w:r>
      <w:r w:rsidR="005E57DB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хозяйствующим субъектам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январе-мае 2020 года</w:t>
      </w:r>
    </w:p>
    <w:p w:rsidR="00F34CAF" w:rsidRPr="00BA58E4" w:rsidRDefault="00F34CAF" w:rsidP="00F34CAF">
      <w:pPr>
        <w:spacing w:after="0" w:line="294" w:lineRule="atLeast"/>
        <w:jc w:val="center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E4FAE"/>
          <w:sz w:val="21"/>
          <w:szCs w:val="21"/>
          <w:lang w:eastAsia="ru-RU"/>
        </w:rPr>
        <w:drawing>
          <wp:inline distT="0" distB="0" distL="0" distR="0">
            <wp:extent cx="5433647" cy="270216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36D6" w:rsidRPr="00554D8B" w:rsidRDefault="00A1778E" w:rsidP="002C2DE2">
      <w:pPr>
        <w:pageBreakBefore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о</w:t>
      </w:r>
      <w:r w:rsidR="002C2DE2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борот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C2DE2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розничной торговли 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январь-май 2020 года</w:t>
      </w:r>
    </w:p>
    <w:p w:rsidR="002C2DE2" w:rsidRDefault="002C2DE2" w:rsidP="002C2DE2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</w:p>
    <w:p w:rsidR="002C2DE2" w:rsidRDefault="002C2DE2" w:rsidP="002C2DE2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5486400" cy="2907323"/>
            <wp:effectExtent l="0" t="0" r="1905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4884" w:rsidRDefault="002B4884" w:rsidP="002C2DE2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</w:p>
    <w:p w:rsidR="002B4884" w:rsidRPr="00554D8B" w:rsidRDefault="00A1778E" w:rsidP="002C2DE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Удельный вес в общем объеме оборота розничной торговли </w:t>
      </w:r>
      <w:r w:rsidR="00E47E29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январь-май 2020 года</w:t>
      </w:r>
    </w:p>
    <w:p w:rsidR="00A1778E" w:rsidRDefault="00A1778E" w:rsidP="002C2DE2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</w:p>
    <w:p w:rsidR="002B4884" w:rsidRDefault="002B4884" w:rsidP="002C2DE2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5486400" cy="2907323"/>
            <wp:effectExtent l="0" t="0" r="1905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592D" w:rsidRPr="00554D8B" w:rsidRDefault="0056592D" w:rsidP="0056592D">
      <w:pPr>
        <w:pageBreakBefore/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D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ОБЩЕСТВЕННОЕ ПИТАНИЕ</w:t>
      </w:r>
    </w:p>
    <w:p w:rsidR="0056592D" w:rsidRPr="00554D8B" w:rsidRDefault="0056592D" w:rsidP="0056592D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554D8B">
        <w:rPr>
          <w:rFonts w:ascii="Times New Roman" w:hAnsi="Times New Roman" w:cs="Times New Roman"/>
          <w:bCs/>
        </w:rPr>
        <w:t>Оборот общественного питания</w:t>
      </w:r>
      <w:r w:rsidRPr="00554D8B">
        <w:rPr>
          <w:rFonts w:ascii="Times New Roman" w:hAnsi="Times New Roman" w:cs="Times New Roman"/>
        </w:rPr>
        <w:t xml:space="preserve"> в мае 2020 года составил </w:t>
      </w:r>
      <w:r w:rsidR="00E47E29" w:rsidRPr="00554D8B">
        <w:rPr>
          <w:rFonts w:ascii="Times New Roman" w:hAnsi="Times New Roman" w:cs="Times New Roman"/>
        </w:rPr>
        <w:t>4,7 миллиарда</w:t>
      </w:r>
      <w:r w:rsidRPr="00554D8B">
        <w:rPr>
          <w:rFonts w:ascii="Times New Roman" w:hAnsi="Times New Roman" w:cs="Times New Roman"/>
        </w:rPr>
        <w:t xml:space="preserve"> рублей, или 42,3 процента</w:t>
      </w:r>
      <w:r w:rsidR="00E47E29" w:rsidRPr="00554D8B">
        <w:rPr>
          <w:rFonts w:ascii="Times New Roman" w:hAnsi="Times New Roman" w:cs="Times New Roman"/>
        </w:rPr>
        <w:t xml:space="preserve"> (в </w:t>
      </w:r>
      <w:r w:rsidRPr="00554D8B">
        <w:rPr>
          <w:rFonts w:ascii="Times New Roman" w:hAnsi="Times New Roman" w:cs="Times New Roman"/>
        </w:rPr>
        <w:t xml:space="preserve">сопоставимых ценах) к маю 2019 года, в январе-мае 2020 года </w:t>
      </w:r>
      <w:r w:rsidRPr="00554D8B">
        <w:rPr>
          <w:rFonts w:ascii="Times New Roman" w:hAnsi="Times New Roman" w:cs="Times New Roman"/>
          <w:spacing w:val="2"/>
        </w:rPr>
        <w:t>– 41,3</w:t>
      </w:r>
      <w:r w:rsidRPr="00554D8B">
        <w:rPr>
          <w:rFonts w:ascii="Times New Roman" w:hAnsi="Times New Roman" w:cs="Times New Roman"/>
        </w:rPr>
        <w:t xml:space="preserve"> </w:t>
      </w:r>
      <w:r w:rsidR="00E47E29" w:rsidRPr="00554D8B">
        <w:rPr>
          <w:rFonts w:ascii="Times New Roman" w:hAnsi="Times New Roman" w:cs="Times New Roman"/>
        </w:rPr>
        <w:t>миллиарда</w:t>
      </w:r>
      <w:r w:rsidRPr="00554D8B">
        <w:rPr>
          <w:rFonts w:ascii="Times New Roman" w:hAnsi="Times New Roman" w:cs="Times New Roman"/>
        </w:rPr>
        <w:t xml:space="preserve"> рублей, или</w:t>
      </w:r>
      <w:r w:rsidR="00E47E29" w:rsidRPr="00554D8B">
        <w:rPr>
          <w:rFonts w:ascii="Times New Roman" w:hAnsi="Times New Roman" w:cs="Times New Roman"/>
        </w:rPr>
        <w:t xml:space="preserve"> </w:t>
      </w:r>
      <w:r w:rsidRPr="00554D8B">
        <w:rPr>
          <w:rFonts w:ascii="Times New Roman" w:hAnsi="Times New Roman" w:cs="Times New Roman"/>
        </w:rPr>
        <w:t>82,2 процента к соответствующему периоду предыдущего года.</w:t>
      </w:r>
    </w:p>
    <w:p w:rsidR="00F65F02" w:rsidRDefault="00F65F02" w:rsidP="00F65F02">
      <w:pPr>
        <w:spacing w:line="240" w:lineRule="auto"/>
      </w:pPr>
    </w:p>
    <w:p w:rsidR="00F35782" w:rsidRDefault="00F35782" w:rsidP="00F65F02">
      <w:pPr>
        <w:spacing w:line="240" w:lineRule="auto"/>
      </w:pPr>
    </w:p>
    <w:p w:rsidR="00DB7740" w:rsidRPr="00554D8B" w:rsidRDefault="00DB7740" w:rsidP="00DC3FF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оборота общественного питания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B7740" w:rsidRDefault="00DB7740" w:rsidP="00DB7740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322677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7740" w:rsidRDefault="00DB7740" w:rsidP="00DB7740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1"/>
          <w:lang w:eastAsia="ru-RU"/>
        </w:rPr>
      </w:pPr>
    </w:p>
    <w:p w:rsidR="00DB7740" w:rsidRPr="00C42E64" w:rsidRDefault="00DB7740" w:rsidP="00DB7740">
      <w:pPr>
        <w:spacing w:line="288" w:lineRule="auto"/>
        <w:ind w:firstLine="709"/>
        <w:rPr>
          <w:rFonts w:ascii="Arial" w:hAnsi="Arial" w:cs="Arial"/>
        </w:rPr>
      </w:pPr>
    </w:p>
    <w:p w:rsidR="00F35782" w:rsidRPr="00554D8B" w:rsidRDefault="0056592D" w:rsidP="00DC3FF3">
      <w:pPr>
        <w:pageBreakBefore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Структура оборота общественного питания </w:t>
      </w:r>
      <w:r w:rsidR="00281637"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хозяйствующим субъектам</w:t>
      </w: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январе-мае 2020 года</w:t>
      </w:r>
    </w:p>
    <w:p w:rsidR="0056592D" w:rsidRPr="00F35782" w:rsidRDefault="0056592D" w:rsidP="0056592D">
      <w:pPr>
        <w:spacing w:line="240" w:lineRule="auto"/>
        <w:jc w:val="center"/>
      </w:pPr>
      <w:r>
        <w:rPr>
          <w:rFonts w:ascii="Arial" w:eastAsia="Times New Roman" w:hAnsi="Arial" w:cs="Arial"/>
          <w:noProof/>
          <w:color w:val="2E4FAE"/>
          <w:sz w:val="21"/>
          <w:szCs w:val="21"/>
          <w:lang w:eastAsia="ru-RU"/>
        </w:rPr>
        <w:drawing>
          <wp:inline distT="0" distB="0" distL="0" distR="0">
            <wp:extent cx="5433646" cy="328832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2E64" w:rsidRPr="00554D8B" w:rsidRDefault="00DC3FF3" w:rsidP="00ED11AC">
      <w:pPr>
        <w:pageBreakBefore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ОБЪЕМ ПЛАТНЫХ УСЛУГ НАСЕЛЕНИЮ</w:t>
      </w:r>
    </w:p>
    <w:p w:rsidR="00DC3FF3" w:rsidRDefault="00DC3FF3" w:rsidP="00C42E64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1"/>
          <w:lang w:eastAsia="ru-RU"/>
        </w:rPr>
      </w:pPr>
    </w:p>
    <w:p w:rsidR="00DC3FF3" w:rsidRPr="00554D8B" w:rsidRDefault="00DC3FF3" w:rsidP="00DC3FF3">
      <w:pPr>
        <w:spacing w:after="12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  <w:r w:rsidRPr="00554D8B">
        <w:rPr>
          <w:rFonts w:ascii="Times New Roman" w:hAnsi="Times New Roman" w:cs="Times New Roman"/>
        </w:rPr>
        <w:t>В январе-мае 2020 года населению области по предварительным данным было оказано платных услуг на 188,3 миллиарда рублей, что составило 84,1 процента (в сопоставимых ценах) к соответствующему периоду 2019 года.</w:t>
      </w:r>
    </w:p>
    <w:tbl>
      <w:tblPr>
        <w:tblStyle w:val="af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195"/>
        <w:gridCol w:w="2835"/>
        <w:gridCol w:w="2241"/>
      </w:tblGrid>
      <w:tr w:rsidR="00DC3FF3" w:rsidTr="00BC2482">
        <w:trPr>
          <w:trHeight w:val="113"/>
          <w:jc w:val="center"/>
        </w:trPr>
        <w:tc>
          <w:tcPr>
            <w:tcW w:w="4195" w:type="dxa"/>
            <w:vMerge w:val="restart"/>
            <w:shd w:val="clear" w:color="auto" w:fill="auto"/>
          </w:tcPr>
          <w:p w:rsidR="00DC3FF3" w:rsidRPr="00BC2482" w:rsidRDefault="00DC3FF3" w:rsidP="00DC3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076" w:type="dxa"/>
            <w:gridSpan w:val="2"/>
            <w:shd w:val="clear" w:color="auto" w:fill="auto"/>
          </w:tcPr>
          <w:p w:rsidR="00DC3FF3" w:rsidRPr="00BC2482" w:rsidRDefault="00BC2482" w:rsidP="00DC3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DC3FF3" w:rsidRPr="00BC2482">
              <w:rPr>
                <w:rFonts w:ascii="Times New Roman" w:hAnsi="Times New Roman" w:cs="Times New Roman"/>
                <w:b/>
              </w:rPr>
              <w:t xml:space="preserve"> сопоставимых ценах </w:t>
            </w:r>
            <w:proofErr w:type="gramStart"/>
            <w:r w:rsidR="00DC3FF3" w:rsidRPr="00BC2482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DC3FF3" w:rsidRPr="00BC2482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4195" w:type="dxa"/>
            <w:vMerge/>
            <w:shd w:val="clear" w:color="auto" w:fill="auto"/>
          </w:tcPr>
          <w:p w:rsidR="00DC3FF3" w:rsidRPr="00BC2482" w:rsidRDefault="00DC3FF3" w:rsidP="00DC3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3FF3" w:rsidRPr="00BC2482" w:rsidRDefault="00BC2482" w:rsidP="00DC3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соответствующему </w:t>
            </w:r>
            <w:r w:rsidR="00BF1BC0" w:rsidRPr="00BC2482">
              <w:rPr>
                <w:rFonts w:ascii="Times New Roman" w:hAnsi="Times New Roman" w:cs="Times New Roman"/>
                <w:b/>
              </w:rPr>
              <w:t>периоду предыдущего года</w:t>
            </w:r>
          </w:p>
        </w:tc>
        <w:tc>
          <w:tcPr>
            <w:tcW w:w="2241" w:type="dxa"/>
            <w:shd w:val="clear" w:color="auto" w:fill="auto"/>
          </w:tcPr>
          <w:p w:rsidR="00DC3FF3" w:rsidRPr="00BC2482" w:rsidRDefault="00BF1BC0" w:rsidP="00DC3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2482">
              <w:rPr>
                <w:rFonts w:ascii="Times New Roman" w:hAnsi="Times New Roman" w:cs="Times New Roman"/>
                <w:b/>
              </w:rPr>
              <w:t>предыдущему периоду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9271" w:type="dxa"/>
            <w:gridSpan w:val="3"/>
          </w:tcPr>
          <w:p w:rsidR="00DC3FF3" w:rsidRPr="00BC2482" w:rsidRDefault="00DC3FF3" w:rsidP="00DC3FF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C2482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419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99,8</w:t>
            </w:r>
          </w:p>
        </w:tc>
        <w:tc>
          <w:tcPr>
            <w:tcW w:w="2241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101,9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419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101,4</w:t>
            </w:r>
          </w:p>
        </w:tc>
        <w:tc>
          <w:tcPr>
            <w:tcW w:w="2241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102,0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419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Март</w:t>
            </w:r>
          </w:p>
        </w:tc>
        <w:tc>
          <w:tcPr>
            <w:tcW w:w="283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96,3</w:t>
            </w:r>
          </w:p>
        </w:tc>
        <w:tc>
          <w:tcPr>
            <w:tcW w:w="2241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97,0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419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Январь-март</w:t>
            </w:r>
          </w:p>
        </w:tc>
        <w:tc>
          <w:tcPr>
            <w:tcW w:w="283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99,0</w:t>
            </w:r>
          </w:p>
        </w:tc>
        <w:tc>
          <w:tcPr>
            <w:tcW w:w="2241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х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419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Апрель</w:t>
            </w:r>
            <w:r w:rsidRPr="00BC2482">
              <w:rPr>
                <w:rStyle w:val="a8"/>
                <w:rFonts w:ascii="Times New Roman" w:hAnsi="Times New Roman"/>
                <w:i w:val="0"/>
                <w:sz w:val="22"/>
                <w:szCs w:val="22"/>
              </w:rPr>
              <w:footnoteReference w:customMarkFollows="1" w:id="1"/>
              <w:t>1</w:t>
            </w:r>
          </w:p>
        </w:tc>
        <w:tc>
          <w:tcPr>
            <w:tcW w:w="283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63,2</w:t>
            </w:r>
          </w:p>
        </w:tc>
        <w:tc>
          <w:tcPr>
            <w:tcW w:w="2241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64,5</w:t>
            </w:r>
          </w:p>
        </w:tc>
      </w:tr>
      <w:tr w:rsidR="00DC3FF3" w:rsidTr="00BC2482">
        <w:trPr>
          <w:trHeight w:val="113"/>
          <w:jc w:val="center"/>
        </w:trPr>
        <w:tc>
          <w:tcPr>
            <w:tcW w:w="419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Май</w:t>
            </w:r>
          </w:p>
        </w:tc>
        <w:tc>
          <w:tcPr>
            <w:tcW w:w="2835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59,4</w:t>
            </w:r>
          </w:p>
        </w:tc>
        <w:tc>
          <w:tcPr>
            <w:tcW w:w="2241" w:type="dxa"/>
            <w:vAlign w:val="bottom"/>
          </w:tcPr>
          <w:p w:rsidR="00DC3FF3" w:rsidRPr="00BC2482" w:rsidRDefault="00DC3FF3" w:rsidP="00DC3FF3">
            <w:pPr>
              <w:pStyle w:val="PlainText1"/>
              <w:spacing w:before="80" w:after="80" w:line="240" w:lineRule="auto"/>
              <w:ind w:right="454" w:firstLine="0"/>
              <w:jc w:val="righ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90,2</w:t>
            </w:r>
          </w:p>
        </w:tc>
      </w:tr>
    </w:tbl>
    <w:p w:rsidR="00ED11AC" w:rsidRDefault="00ED11AC" w:rsidP="00ED11AC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</w:p>
    <w:p w:rsidR="00D612EC" w:rsidRPr="00BC2482" w:rsidRDefault="00D612EC" w:rsidP="00ED11A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платных услуг населению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612EC" w:rsidRDefault="00D612EC" w:rsidP="00D612EC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12EC" w:rsidRDefault="00D612EC" w:rsidP="00D612EC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1"/>
          <w:lang w:eastAsia="ru-RU"/>
        </w:rPr>
      </w:pPr>
    </w:p>
    <w:p w:rsidR="00D612EC" w:rsidRDefault="00D612EC" w:rsidP="00D612EC">
      <w:pPr>
        <w:spacing w:line="288" w:lineRule="auto"/>
        <w:ind w:firstLine="709"/>
        <w:rPr>
          <w:rFonts w:ascii="Arial" w:hAnsi="Arial" w:cs="Arial"/>
        </w:rPr>
      </w:pPr>
    </w:p>
    <w:p w:rsidR="00D612EC" w:rsidRDefault="00D612EC" w:rsidP="008150BE">
      <w:pPr>
        <w:spacing w:line="288" w:lineRule="auto"/>
        <w:ind w:firstLine="709"/>
        <w:jc w:val="center"/>
        <w:rPr>
          <w:rFonts w:ascii="Arial" w:hAnsi="Arial" w:cs="Arial"/>
        </w:rPr>
      </w:pPr>
    </w:p>
    <w:p w:rsidR="00881552" w:rsidRPr="00BC2482" w:rsidRDefault="00881552" w:rsidP="00881552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Объем платных услуг населению по видам</w:t>
      </w: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268"/>
        <w:gridCol w:w="1701"/>
      </w:tblGrid>
      <w:tr w:rsidR="00325854" w:rsidTr="00BC2482">
        <w:trPr>
          <w:trHeight w:val="20"/>
        </w:trPr>
        <w:tc>
          <w:tcPr>
            <w:tcW w:w="4077" w:type="dxa"/>
            <w:vMerge w:val="restart"/>
            <w:shd w:val="clear" w:color="auto" w:fill="FFFFFF" w:themeFill="background1"/>
          </w:tcPr>
          <w:p w:rsidR="00325854" w:rsidRPr="00BC2482" w:rsidRDefault="00325854" w:rsidP="00D612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325854" w:rsidRPr="00BC2482" w:rsidRDefault="00BC2482" w:rsidP="00D612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="00325854" w:rsidRPr="00BC24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нварь-май 2020 года</w:t>
            </w:r>
          </w:p>
        </w:tc>
      </w:tr>
      <w:tr w:rsidR="00325854" w:rsidTr="00BC2482">
        <w:trPr>
          <w:trHeight w:val="20"/>
        </w:trPr>
        <w:tc>
          <w:tcPr>
            <w:tcW w:w="4077" w:type="dxa"/>
            <w:vMerge/>
            <w:shd w:val="clear" w:color="auto" w:fill="FFFFFF" w:themeFill="background1"/>
          </w:tcPr>
          <w:p w:rsidR="00325854" w:rsidRPr="00BC2482" w:rsidRDefault="00325854" w:rsidP="00D612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25854" w:rsidRPr="00BC2482" w:rsidRDefault="00325854" w:rsidP="00D612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миллионов рублей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325854" w:rsidRPr="00BC2482" w:rsidRDefault="00EC3928" w:rsidP="00D612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  <w:r w:rsidRPr="00BC2482">
              <w:rPr>
                <w:rFonts w:ascii="Times New Roman" w:hAnsi="Times New Roman" w:cs="Times New Roman"/>
                <w:b/>
              </w:rPr>
              <w:t xml:space="preserve">в сопоставимых ценах </w:t>
            </w:r>
            <w:proofErr w:type="gramStart"/>
            <w:r w:rsidR="00325854" w:rsidRPr="00BC2482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325854" w:rsidRPr="00BC2482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</w:tr>
      <w:tr w:rsidR="00325854" w:rsidTr="00BC2482">
        <w:trPr>
          <w:trHeight w:val="20"/>
        </w:trPr>
        <w:tc>
          <w:tcPr>
            <w:tcW w:w="4077" w:type="dxa"/>
            <w:vMerge/>
            <w:shd w:val="clear" w:color="auto" w:fill="FFFFFF" w:themeFill="background1"/>
          </w:tcPr>
          <w:p w:rsidR="00325854" w:rsidRPr="00BC2482" w:rsidRDefault="00325854" w:rsidP="00D612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25854" w:rsidRPr="00BC2482" w:rsidRDefault="00325854" w:rsidP="00D612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5854" w:rsidRPr="00BC2482" w:rsidRDefault="00325854" w:rsidP="00D612EC">
            <w:pPr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соответствующему периоду </w:t>
            </w:r>
            <w:r w:rsidRPr="00BC2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предыдущего </w:t>
            </w:r>
            <w:r w:rsidRPr="00BC2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325854" w:rsidRPr="00BC2482" w:rsidRDefault="00325854" w:rsidP="00D612EC">
            <w:pPr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итогу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Платные услуги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188326,3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84,1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pStyle w:val="PlainText1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C2482">
              <w:rPr>
                <w:rFonts w:ascii="Times New Roman" w:hAnsi="Times New Roman"/>
                <w:i w:val="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бытовые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22392,5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68,6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11,9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транспортные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E47E29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11598,</w:t>
            </w:r>
            <w:r w:rsidR="00E47E29"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62,4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 xml:space="preserve">услуги почтовой связи, </w:t>
            </w: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br/>
              <w:t>курьерские услуги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1191,1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0,6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телекоммуникационные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15057,3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D612EC">
            <w:pPr>
              <w:spacing w:before="108" w:after="108"/>
              <w:ind w:left="22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108,2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D612EC">
            <w:pPr>
              <w:spacing w:before="108" w:after="108"/>
              <w:ind w:left="22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E47E29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жилищные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27288,9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14,5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E47E29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коммунальные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70122,9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93,2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37,2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учреждений культуры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1708,2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0,9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1946,7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64,7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 xml:space="preserve">услуги гостиниц и </w:t>
            </w: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br/>
              <w:t xml:space="preserve">аналогичные услуги по предоставлению </w:t>
            </w: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br/>
              <w:t>временного жилья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2822,4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81,2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физической культуры и спорта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1704,0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64,7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0,9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медицинские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12436,0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92,3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E47E29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6,</w:t>
            </w:r>
            <w:r w:rsidR="00E47E29"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услуги специализированных коллективных средств размещения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2007,6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57,1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1,1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17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из них: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17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услуги санаторно-курортных организаций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1555,6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55,6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0,8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ветеринарные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461,5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97,7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юридические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3295,5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105,9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E47E29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E47E29"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системы образования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10159,9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74,5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5,4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 xml:space="preserve">услуги, предоставляемые </w:t>
            </w: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br/>
              <w:t xml:space="preserve">гражданам пожилого </w:t>
            </w: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br/>
              <w:t>возраста и инвалидам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355,0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104,3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</w:tr>
      <w:tr w:rsidR="00325854" w:rsidTr="00BC2482">
        <w:trPr>
          <w:trHeight w:val="170"/>
        </w:trPr>
        <w:tc>
          <w:tcPr>
            <w:tcW w:w="4077" w:type="dxa"/>
            <w:vAlign w:val="bottom"/>
          </w:tcPr>
          <w:p w:rsidR="00325854" w:rsidRPr="00BC2482" w:rsidRDefault="00325854" w:rsidP="00881552">
            <w:pPr>
              <w:spacing w:before="80" w:after="80"/>
              <w:ind w:left="5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C2482">
              <w:rPr>
                <w:rFonts w:ascii="Times New Roman" w:hAnsi="Times New Roman" w:cs="Times New Roman"/>
                <w:snapToGrid w:val="0"/>
                <w:color w:val="000000"/>
              </w:rPr>
              <w:t>прочие виды платных услуг</w:t>
            </w:r>
          </w:p>
        </w:tc>
        <w:tc>
          <w:tcPr>
            <w:tcW w:w="1843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3778,7</w:t>
            </w:r>
          </w:p>
        </w:tc>
        <w:tc>
          <w:tcPr>
            <w:tcW w:w="2268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1701" w:type="dxa"/>
            <w:vAlign w:val="bottom"/>
          </w:tcPr>
          <w:p w:rsidR="00325854" w:rsidRPr="00BC2482" w:rsidRDefault="00325854" w:rsidP="00881552">
            <w:pPr>
              <w:widowControl w:val="0"/>
              <w:spacing w:before="80" w:after="8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2482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</w:tr>
    </w:tbl>
    <w:p w:rsidR="00A718B6" w:rsidRPr="00BC2482" w:rsidRDefault="00A718B6" w:rsidP="00A718B6">
      <w:pPr>
        <w:pageBreakBefore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Структура платных услуг населению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январе-мае 2020 года</w:t>
      </w:r>
    </w:p>
    <w:p w:rsidR="00A718B6" w:rsidRPr="00C42E64" w:rsidRDefault="00A718B6" w:rsidP="00A718B6">
      <w:pPr>
        <w:spacing w:line="288" w:lineRule="auto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2E4FAE"/>
          <w:sz w:val="21"/>
          <w:szCs w:val="21"/>
          <w:lang w:eastAsia="ru-RU"/>
        </w:rPr>
        <w:drawing>
          <wp:inline distT="0" distB="0" distL="0" distR="0">
            <wp:extent cx="5433646" cy="8071338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7C90" w:rsidRPr="00BC2482" w:rsidRDefault="00EB7C90" w:rsidP="00EB7C90">
      <w:pPr>
        <w:pageBreakBefore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ОПТОВАЯ ТОРГОЛЯ</w:t>
      </w:r>
    </w:p>
    <w:p w:rsidR="00EB7C90" w:rsidRPr="00BC2482" w:rsidRDefault="00EB7C90" w:rsidP="00EB7C90">
      <w:pPr>
        <w:widowControl w:val="0"/>
        <w:tabs>
          <w:tab w:val="left" w:pos="252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1375915"/>
      <w:r w:rsidRPr="00BC2482">
        <w:rPr>
          <w:rFonts w:ascii="Times New Roman" w:hAnsi="Times New Roman" w:cs="Times New Roman"/>
          <w:b/>
          <w:bCs/>
          <w:sz w:val="28"/>
          <w:szCs w:val="28"/>
        </w:rPr>
        <w:t>Оборот оптовой торговли</w:t>
      </w:r>
      <w:bookmarkEnd w:id="1"/>
    </w:p>
    <w:p w:rsidR="00EB7C90" w:rsidRPr="00BC2482" w:rsidRDefault="00EB7C90" w:rsidP="00EB7C90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BC2482">
        <w:rPr>
          <w:rFonts w:ascii="Times New Roman" w:hAnsi="Times New Roman" w:cs="Times New Roman"/>
        </w:rPr>
        <w:t xml:space="preserve">В мае 2020 года оборот оптовой торговли составил 470,4  миллиарда рублей, или 87,1 процента (в сопоставимых ценах) к соответствующему периоду предыдущего года. В январе-мае 2020 года – 2447 </w:t>
      </w:r>
      <w:r w:rsidR="00D16BA0" w:rsidRPr="00BC2482">
        <w:rPr>
          <w:rFonts w:ascii="Times New Roman" w:hAnsi="Times New Roman" w:cs="Times New Roman"/>
        </w:rPr>
        <w:t>миллиардов</w:t>
      </w:r>
      <w:r w:rsidRPr="00BC2482">
        <w:rPr>
          <w:rFonts w:ascii="Times New Roman" w:hAnsi="Times New Roman" w:cs="Times New Roman"/>
        </w:rPr>
        <w:t xml:space="preserve"> и 91,2 процента.</w:t>
      </w:r>
    </w:p>
    <w:p w:rsidR="009F1F96" w:rsidRPr="00BC2482" w:rsidRDefault="00BC2482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оборота оптовой торговли</w:t>
      </w:r>
    </w:p>
    <w:p w:rsidR="00EB7C90" w:rsidRPr="00BC2482" w:rsidRDefault="00EB7C90" w:rsidP="00EB7C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</w:r>
    </w:p>
    <w:p w:rsidR="00EB7C90" w:rsidRDefault="00EB7C90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7C90" w:rsidRPr="00BC2482" w:rsidRDefault="00EB7C90" w:rsidP="00EB7C90">
      <w:pPr>
        <w:pStyle w:val="33"/>
        <w:keepNext w:val="0"/>
        <w:pageBreakBefore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BC2482">
        <w:rPr>
          <w:bCs/>
          <w:sz w:val="28"/>
          <w:szCs w:val="28"/>
        </w:rPr>
        <w:lastRenderedPageBreak/>
        <w:t>Оборот оптовой торговли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6"/>
        <w:gridCol w:w="1336"/>
        <w:gridCol w:w="1488"/>
        <w:gridCol w:w="1489"/>
        <w:gridCol w:w="1418"/>
        <w:gridCol w:w="1842"/>
      </w:tblGrid>
      <w:tr w:rsidR="00EB7C90" w:rsidTr="00BC2482">
        <w:trPr>
          <w:trHeight w:val="113"/>
        </w:trPr>
        <w:tc>
          <w:tcPr>
            <w:tcW w:w="2066" w:type="dxa"/>
            <w:vMerge w:val="restart"/>
            <w:shd w:val="clear" w:color="auto" w:fill="FFFFFF" w:themeFill="background1"/>
          </w:tcPr>
          <w:p w:rsidR="00EB7C90" w:rsidRPr="00BC2482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:rsidR="00EB7C90" w:rsidRPr="00BC2482" w:rsidRDefault="00BC2482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EB7C90" w:rsidRPr="00BC2482">
              <w:rPr>
                <w:rFonts w:ascii="Times New Roman" w:hAnsi="Times New Roman" w:cs="Times New Roman"/>
                <w:b/>
              </w:rPr>
              <w:t>ай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B7C90" w:rsidRPr="00BC2482" w:rsidRDefault="00BC2482" w:rsidP="006E5792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C3928" w:rsidRPr="00BC2482">
              <w:rPr>
                <w:rFonts w:ascii="Times New Roman" w:hAnsi="Times New Roman" w:cs="Times New Roman"/>
                <w:b/>
              </w:rPr>
              <w:t xml:space="preserve"> сопоставимых ценах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EC3928" w:rsidRPr="00BC248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C3928" w:rsidRPr="00BC2482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EB7C90" w:rsidRPr="00BC2482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B7C90" w:rsidRPr="00BC2482" w:rsidRDefault="00BC2482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BC2482">
              <w:rPr>
                <w:rFonts w:ascii="Times New Roman" w:hAnsi="Times New Roman" w:cs="Times New Roman"/>
                <w:b/>
              </w:rPr>
              <w:t>нварь-май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EB7C90" w:rsidRPr="00BC2482" w:rsidRDefault="00BC2482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BC2482">
              <w:rPr>
                <w:rFonts w:ascii="Times New Roman" w:hAnsi="Times New Roman" w:cs="Times New Roman"/>
                <w:b/>
              </w:rPr>
              <w:t>нвар</w:t>
            </w:r>
            <w:proofErr w:type="gramStart"/>
            <w:r w:rsidR="00EB7C90" w:rsidRPr="00BC2482"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 w:rsidR="00EB7C90" w:rsidRPr="00BC2482">
              <w:rPr>
                <w:rFonts w:ascii="Times New Roman" w:hAnsi="Times New Roman" w:cs="Times New Roman"/>
                <w:b/>
              </w:rPr>
              <w:br/>
              <w:t xml:space="preserve">май 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>в % к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>январю-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 xml:space="preserve">маю </w:t>
            </w:r>
            <w:r w:rsidR="00EB7C90" w:rsidRPr="00BC2482">
              <w:rPr>
                <w:rFonts w:ascii="Times New Roman" w:hAnsi="Times New Roman" w:cs="Times New Roman"/>
                <w:b/>
              </w:rPr>
              <w:br/>
              <w:t>2019 года</w:t>
            </w:r>
            <w:r w:rsidR="00EC3928" w:rsidRPr="00BC2482">
              <w:rPr>
                <w:rFonts w:ascii="Times New Roman" w:hAnsi="Times New Roman" w:cs="Times New Roman"/>
                <w:b/>
              </w:rPr>
              <w:br/>
              <w:t>(в сопоставимых ценах)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Merge/>
          </w:tcPr>
          <w:p w:rsidR="00EB7C90" w:rsidRDefault="00EB7C90" w:rsidP="00EB7C90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336" w:type="dxa"/>
            <w:vMerge/>
          </w:tcPr>
          <w:p w:rsidR="00EB7C90" w:rsidRDefault="00EB7C90" w:rsidP="00EB7C90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EB7C90" w:rsidRDefault="00EB7C90" w:rsidP="00EB7C90">
            <w:pPr>
              <w:spacing w:before="60" w:after="60"/>
              <w:jc w:val="center"/>
              <w:rPr>
                <w:lang w:eastAsia="ru-RU"/>
              </w:rPr>
            </w:pPr>
            <w:r w:rsidRPr="00300115">
              <w:rPr>
                <w:rFonts w:ascii="Arial" w:hAnsi="Arial" w:cs="Arial"/>
                <w:b/>
                <w:sz w:val="18"/>
                <w:szCs w:val="20"/>
              </w:rPr>
              <w:t>маю</w:t>
            </w:r>
            <w:r w:rsidRPr="00300115">
              <w:rPr>
                <w:rFonts w:ascii="Arial" w:hAnsi="Arial" w:cs="Arial"/>
                <w:b/>
                <w:sz w:val="18"/>
                <w:szCs w:val="20"/>
              </w:rPr>
              <w:br/>
              <w:t>2019 года</w:t>
            </w:r>
          </w:p>
        </w:tc>
        <w:tc>
          <w:tcPr>
            <w:tcW w:w="1489" w:type="dxa"/>
            <w:shd w:val="clear" w:color="auto" w:fill="FFFFFF" w:themeFill="background1"/>
          </w:tcPr>
          <w:p w:rsidR="00EB7C90" w:rsidRDefault="00EB7C90" w:rsidP="00EB7C90">
            <w:pPr>
              <w:spacing w:before="60" w:after="60"/>
              <w:jc w:val="center"/>
              <w:rPr>
                <w:lang w:eastAsia="ru-RU"/>
              </w:rPr>
            </w:pPr>
            <w:r w:rsidRPr="00300115">
              <w:rPr>
                <w:rFonts w:ascii="Arial" w:hAnsi="Arial" w:cs="Arial"/>
                <w:b/>
                <w:sz w:val="18"/>
                <w:szCs w:val="20"/>
              </w:rPr>
              <w:t>апрелю</w:t>
            </w:r>
            <w:r w:rsidRPr="00300115">
              <w:rPr>
                <w:rFonts w:ascii="Arial" w:hAnsi="Arial" w:cs="Arial"/>
                <w:b/>
                <w:sz w:val="18"/>
                <w:szCs w:val="20"/>
              </w:rPr>
              <w:br/>
              <w:t>2020 года</w:t>
            </w:r>
          </w:p>
        </w:tc>
        <w:tc>
          <w:tcPr>
            <w:tcW w:w="1418" w:type="dxa"/>
            <w:vMerge/>
          </w:tcPr>
          <w:p w:rsidR="00EB7C90" w:rsidRDefault="00EB7C90" w:rsidP="00EB7C90">
            <w:pPr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EB7C90" w:rsidRDefault="00EB7C90" w:rsidP="00EB7C90">
            <w:pPr>
              <w:spacing w:before="60" w:after="60"/>
              <w:jc w:val="center"/>
              <w:rPr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EB7C90">
            <w:pPr>
              <w:spacing w:before="120" w:after="12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470358,3</w:t>
            </w:r>
          </w:p>
        </w:tc>
        <w:tc>
          <w:tcPr>
            <w:tcW w:w="1488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87,1</w:t>
            </w:r>
          </w:p>
        </w:tc>
        <w:tc>
          <w:tcPr>
            <w:tcW w:w="1489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418" w:type="dxa"/>
            <w:vAlign w:val="bottom"/>
          </w:tcPr>
          <w:p w:rsidR="00EB7C90" w:rsidRPr="00BC2482" w:rsidRDefault="00EC3928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2446973,6</w:t>
            </w:r>
          </w:p>
        </w:tc>
        <w:tc>
          <w:tcPr>
            <w:tcW w:w="1842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91,2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EB7C90">
            <w:pPr>
              <w:spacing w:before="120" w:after="12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36" w:type="dxa"/>
            <w:vAlign w:val="bottom"/>
          </w:tcPr>
          <w:p w:rsidR="00EB7C90" w:rsidRPr="00BC2482" w:rsidRDefault="00EB7C90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Align w:val="bottom"/>
          </w:tcPr>
          <w:p w:rsidR="00EB7C90" w:rsidRPr="00BC2482" w:rsidRDefault="00EB7C90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EB7C90" w:rsidRPr="00BC2482" w:rsidRDefault="00EB7C90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B7C90" w:rsidRPr="00BC2482" w:rsidRDefault="00EB7C90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EB7C90" w:rsidRPr="00BC2482" w:rsidRDefault="00EB7C90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9F1F96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 xml:space="preserve">оборот </w:t>
            </w:r>
            <w:r w:rsidR="009F1F96" w:rsidRPr="00BC2482">
              <w:rPr>
                <w:rFonts w:ascii="Times New Roman" w:hAnsi="Times New Roman" w:cs="Times New Roman"/>
              </w:rPr>
              <w:t>оптовой торговли организаций оптовой торговли</w:t>
            </w:r>
          </w:p>
        </w:tc>
        <w:tc>
          <w:tcPr>
            <w:tcW w:w="1336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345934,7</w:t>
            </w:r>
          </w:p>
        </w:tc>
        <w:tc>
          <w:tcPr>
            <w:tcW w:w="1488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89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418" w:type="dxa"/>
            <w:vAlign w:val="bottom"/>
          </w:tcPr>
          <w:p w:rsidR="00EB7C90" w:rsidRPr="00BC2482" w:rsidRDefault="009F1F96" w:rsidP="00EC3928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1779529,</w:t>
            </w:r>
            <w:r w:rsidR="00EC3928" w:rsidRPr="00BC248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91,7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9F1F96" w:rsidP="00EB7C90">
            <w:pPr>
              <w:spacing w:before="120" w:after="12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336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124423,6</w:t>
            </w:r>
          </w:p>
        </w:tc>
        <w:tc>
          <w:tcPr>
            <w:tcW w:w="1488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79,9</w:t>
            </w:r>
          </w:p>
        </w:tc>
        <w:tc>
          <w:tcPr>
            <w:tcW w:w="1489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418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667444,5</w:t>
            </w:r>
          </w:p>
        </w:tc>
        <w:tc>
          <w:tcPr>
            <w:tcW w:w="1842" w:type="dxa"/>
            <w:vAlign w:val="bottom"/>
          </w:tcPr>
          <w:p w:rsidR="00EB7C90" w:rsidRPr="00BC2482" w:rsidRDefault="009F1F96" w:rsidP="00EB7C90">
            <w:pPr>
              <w:spacing w:before="120" w:after="1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  <w:lang w:eastAsia="ru-RU"/>
              </w:rPr>
              <w:t>89,7</w:t>
            </w:r>
          </w:p>
        </w:tc>
      </w:tr>
    </w:tbl>
    <w:p w:rsidR="00EB7C90" w:rsidRPr="008C28F5" w:rsidRDefault="00EB7C90" w:rsidP="00EB7C90">
      <w:pPr>
        <w:rPr>
          <w:lang w:eastAsia="ru-RU"/>
        </w:rPr>
      </w:pPr>
    </w:p>
    <w:p w:rsidR="00EB7C90" w:rsidRDefault="00EB7C90" w:rsidP="00E6511E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sectPr w:rsidR="00EB7C90" w:rsidSect="00F8048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C8" w:rsidRDefault="005D1BC8" w:rsidP="002A53DB">
      <w:pPr>
        <w:spacing w:after="0" w:line="240" w:lineRule="auto"/>
      </w:pPr>
      <w:r>
        <w:separator/>
      </w:r>
    </w:p>
  </w:endnote>
  <w:endnote w:type="continuationSeparator" w:id="0">
    <w:p w:rsidR="005D1BC8" w:rsidRDefault="005D1BC8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C8" w:rsidRDefault="005D1BC8" w:rsidP="002A53DB">
      <w:pPr>
        <w:spacing w:after="0" w:line="240" w:lineRule="auto"/>
      </w:pPr>
      <w:r>
        <w:separator/>
      </w:r>
    </w:p>
  </w:footnote>
  <w:footnote w:type="continuationSeparator" w:id="0">
    <w:p w:rsidR="005D1BC8" w:rsidRDefault="005D1BC8" w:rsidP="002A53DB">
      <w:pPr>
        <w:spacing w:after="0" w:line="240" w:lineRule="auto"/>
      </w:pPr>
      <w:r>
        <w:continuationSeparator/>
      </w:r>
    </w:p>
  </w:footnote>
  <w:footnote w:id="1">
    <w:p w:rsidR="00325854" w:rsidRPr="00BC2482" w:rsidRDefault="00325854" w:rsidP="00DC3FF3">
      <w:pPr>
        <w:pStyle w:val="a6"/>
        <w:jc w:val="both"/>
        <w:rPr>
          <w:sz w:val="16"/>
          <w:szCs w:val="15"/>
        </w:rPr>
      </w:pPr>
      <w:r w:rsidRPr="00BC2482">
        <w:rPr>
          <w:rStyle w:val="a8"/>
          <w:rFonts w:ascii="Arial" w:hAnsi="Arial" w:cs="Arial"/>
          <w:sz w:val="16"/>
          <w:szCs w:val="15"/>
        </w:rPr>
        <w:t>1</w:t>
      </w:r>
      <w:r w:rsidRPr="00BC2482">
        <w:rPr>
          <w:rFonts w:ascii="Arial" w:hAnsi="Arial" w:cs="Arial"/>
          <w:sz w:val="16"/>
          <w:szCs w:val="15"/>
        </w:rPr>
        <w:t xml:space="preserve"> показатели изменены за счет уточнения респондентами предварительных данных за апрель в отчете за май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4"/>
    <w:rsid w:val="000317BB"/>
    <w:rsid w:val="00037273"/>
    <w:rsid w:val="00060A65"/>
    <w:rsid w:val="00067960"/>
    <w:rsid w:val="00091316"/>
    <w:rsid w:val="000A1302"/>
    <w:rsid w:val="000F0592"/>
    <w:rsid w:val="000F10C0"/>
    <w:rsid w:val="00172EE0"/>
    <w:rsid w:val="00173BAE"/>
    <w:rsid w:val="0019107B"/>
    <w:rsid w:val="00195797"/>
    <w:rsid w:val="001E30D9"/>
    <w:rsid w:val="001E3E1D"/>
    <w:rsid w:val="00213A91"/>
    <w:rsid w:val="00220BF4"/>
    <w:rsid w:val="00281637"/>
    <w:rsid w:val="00283B3E"/>
    <w:rsid w:val="002A53DB"/>
    <w:rsid w:val="002B4884"/>
    <w:rsid w:val="002C2DE2"/>
    <w:rsid w:val="002C7CC4"/>
    <w:rsid w:val="002E66A5"/>
    <w:rsid w:val="002F36B6"/>
    <w:rsid w:val="002F58B7"/>
    <w:rsid w:val="00300115"/>
    <w:rsid w:val="00306AEB"/>
    <w:rsid w:val="00325854"/>
    <w:rsid w:val="00336116"/>
    <w:rsid w:val="003A758F"/>
    <w:rsid w:val="003B54ED"/>
    <w:rsid w:val="003E20AA"/>
    <w:rsid w:val="003E2962"/>
    <w:rsid w:val="00421D1F"/>
    <w:rsid w:val="00440DEC"/>
    <w:rsid w:val="00444B21"/>
    <w:rsid w:val="00466785"/>
    <w:rsid w:val="00466928"/>
    <w:rsid w:val="004E3507"/>
    <w:rsid w:val="005042E7"/>
    <w:rsid w:val="00512E9C"/>
    <w:rsid w:val="005360A9"/>
    <w:rsid w:val="00554D8B"/>
    <w:rsid w:val="00560E24"/>
    <w:rsid w:val="0056592D"/>
    <w:rsid w:val="0057701D"/>
    <w:rsid w:val="005972E9"/>
    <w:rsid w:val="005C238E"/>
    <w:rsid w:val="005D1BC8"/>
    <w:rsid w:val="005E2722"/>
    <w:rsid w:val="005E57DB"/>
    <w:rsid w:val="005F12CD"/>
    <w:rsid w:val="005F57B9"/>
    <w:rsid w:val="0061346A"/>
    <w:rsid w:val="006167E1"/>
    <w:rsid w:val="00662AA2"/>
    <w:rsid w:val="006957E4"/>
    <w:rsid w:val="006E05FC"/>
    <w:rsid w:val="006E5792"/>
    <w:rsid w:val="0072167F"/>
    <w:rsid w:val="007332C7"/>
    <w:rsid w:val="007403D3"/>
    <w:rsid w:val="0074068C"/>
    <w:rsid w:val="00790343"/>
    <w:rsid w:val="007A57C1"/>
    <w:rsid w:val="00811384"/>
    <w:rsid w:val="008150BE"/>
    <w:rsid w:val="00825756"/>
    <w:rsid w:val="00833425"/>
    <w:rsid w:val="0085781E"/>
    <w:rsid w:val="00864A74"/>
    <w:rsid w:val="008768A8"/>
    <w:rsid w:val="00881552"/>
    <w:rsid w:val="008819D7"/>
    <w:rsid w:val="00897F26"/>
    <w:rsid w:val="008B7E40"/>
    <w:rsid w:val="008C28F5"/>
    <w:rsid w:val="008E1299"/>
    <w:rsid w:val="008F7455"/>
    <w:rsid w:val="00930EA0"/>
    <w:rsid w:val="00966E52"/>
    <w:rsid w:val="009F1F96"/>
    <w:rsid w:val="009F593D"/>
    <w:rsid w:val="00A05272"/>
    <w:rsid w:val="00A126B0"/>
    <w:rsid w:val="00A1778E"/>
    <w:rsid w:val="00A269A3"/>
    <w:rsid w:val="00A30073"/>
    <w:rsid w:val="00A718B6"/>
    <w:rsid w:val="00A83538"/>
    <w:rsid w:val="00A85249"/>
    <w:rsid w:val="00A8677A"/>
    <w:rsid w:val="00AA5796"/>
    <w:rsid w:val="00AC2DB7"/>
    <w:rsid w:val="00AD4421"/>
    <w:rsid w:val="00AF7B2A"/>
    <w:rsid w:val="00B12C44"/>
    <w:rsid w:val="00B25AA8"/>
    <w:rsid w:val="00B47839"/>
    <w:rsid w:val="00B62A74"/>
    <w:rsid w:val="00B82852"/>
    <w:rsid w:val="00B936D6"/>
    <w:rsid w:val="00BA0F25"/>
    <w:rsid w:val="00BA58E4"/>
    <w:rsid w:val="00BC2482"/>
    <w:rsid w:val="00BC57D0"/>
    <w:rsid w:val="00BD3B1F"/>
    <w:rsid w:val="00BF1BC0"/>
    <w:rsid w:val="00BF7805"/>
    <w:rsid w:val="00C02A08"/>
    <w:rsid w:val="00C42E64"/>
    <w:rsid w:val="00C811D9"/>
    <w:rsid w:val="00CF407E"/>
    <w:rsid w:val="00D01F9B"/>
    <w:rsid w:val="00D03138"/>
    <w:rsid w:val="00D04EDB"/>
    <w:rsid w:val="00D16BA0"/>
    <w:rsid w:val="00D612EC"/>
    <w:rsid w:val="00DA3F16"/>
    <w:rsid w:val="00DB7740"/>
    <w:rsid w:val="00DC3FF3"/>
    <w:rsid w:val="00E25EBE"/>
    <w:rsid w:val="00E26B47"/>
    <w:rsid w:val="00E47E29"/>
    <w:rsid w:val="00E6511E"/>
    <w:rsid w:val="00E878B8"/>
    <w:rsid w:val="00EB7C90"/>
    <w:rsid w:val="00EC3928"/>
    <w:rsid w:val="00ED11AC"/>
    <w:rsid w:val="00EE1312"/>
    <w:rsid w:val="00F212B9"/>
    <w:rsid w:val="00F33256"/>
    <w:rsid w:val="00F34CAF"/>
    <w:rsid w:val="00F35782"/>
    <w:rsid w:val="00F65F02"/>
    <w:rsid w:val="00F80480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6"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2020 год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2.8971663985402789E-2"/>
          <c:y val="0.15476190476190546"/>
          <c:w val="0.95447309945151004"/>
          <c:h val="0.5737932469908146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6.4151541681963145E-2"/>
                  <c:y val="-5.8913453126051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73694399541142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151704627204917E-2"/>
                  <c:y val="4.7619047619047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388417298201835E-2"/>
                  <c:y val="-5.5555555555555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457495978104076E-2"/>
                  <c:y val="6.2881418668820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105.5</c:v>
                </c:pt>
                <c:pt idx="1">
                  <c:v>110.7</c:v>
                </c:pt>
                <c:pt idx="2">
                  <c:v>108.7</c:v>
                </c:pt>
                <c:pt idx="3">
                  <c:v>74.5</c:v>
                </c:pt>
                <c:pt idx="4" formatCode="0.0">
                  <c:v>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971663985402813E-2"/>
                  <c:y val="5.5555243094613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082137111576854E-3"/>
                  <c:y val="-1.9841269841269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763450274244989E-2"/>
                  <c:y val="4.7619047619047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75.400000000000006</c:v>
                </c:pt>
                <c:pt idx="1">
                  <c:v>103.8</c:v>
                </c:pt>
                <c:pt idx="2">
                  <c:v>113.1</c:v>
                </c:pt>
                <c:pt idx="3">
                  <c:v>67.5</c:v>
                </c:pt>
                <c:pt idx="4">
                  <c:v>109.5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20160"/>
        <c:axId val="56621696"/>
      </c:lineChart>
      <c:catAx>
        <c:axId val="5662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56621696"/>
        <c:crosses val="autoZero"/>
        <c:auto val="1"/>
        <c:lblAlgn val="ctr"/>
        <c:lblOffset val="100"/>
        <c:noMultiLvlLbl val="0"/>
      </c:catAx>
      <c:valAx>
        <c:axId val="56621696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6620160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954E-2"/>
          <c:y val="0.91289870016247965"/>
          <c:w val="0.93045461359962656"/>
          <c:h val="6.3291776027996724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654916382297256E-2"/>
          <c:y val="0.11302111517266511"/>
          <c:w val="0.85479840090115156"/>
          <c:h val="0.55415613604498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84"/>
          <c:dPt>
            <c:idx val="0"/>
            <c:bubble3D val="0"/>
            <c:explosion val="16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FBEAC7"/>
                  </a:gs>
                  <a:gs pos="17999">
                    <a:srgbClr val="FEE7F2"/>
                  </a:gs>
                  <a:gs pos="36000">
                    <a:srgbClr val="FAC77D"/>
                  </a:gs>
                  <a:gs pos="61000">
                    <a:srgbClr val="FBA97D"/>
                  </a:gs>
                  <a:gs pos="82001">
                    <a:srgbClr val="FBD49C"/>
                  </a:gs>
                  <a:gs pos="100000">
                    <a:srgbClr val="FEE7F2"/>
                  </a:gs>
                </a:gsLst>
                <a:lin ang="5400000" scaled="0"/>
              </a:gradFill>
            </c:spPr>
          </c:dPt>
          <c:dPt>
            <c:idx val="4"/>
            <c:bubble3D val="0"/>
            <c:spPr>
              <a:gradFill>
                <a:gsLst>
                  <a:gs pos="0">
                    <a:srgbClr val="FFFFFF"/>
                  </a:gs>
                  <a:gs pos="7001">
                    <a:srgbClr val="E6E6E6"/>
                  </a:gs>
                  <a:gs pos="32001">
                    <a:srgbClr val="7D8496"/>
                  </a:gs>
                  <a:gs pos="47000">
                    <a:srgbClr val="E6E6E6"/>
                  </a:gs>
                  <a:gs pos="85001">
                    <a:srgbClr val="7D8496"/>
                  </a:gs>
                  <a:gs pos="100000">
                    <a:srgbClr val="E6E6E6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6.8944682815185329E-2"/>
                  <c:y val="-0.29936067165597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295219766760685E-3"/>
                  <c:y val="3.6679475623448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55005103528725E-2"/>
                  <c:y val="-6.45790748146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723680373287001E-3"/>
                  <c:y val="-8.7167761917173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335881223053232E-2"/>
                  <c:y val="3.3041148013395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noFill/>
                </a:ln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Организации, не относящиеся к субъектам малого и среднего предпринимательства</c:v>
                </c:pt>
                <c:pt idx="1">
                  <c:v>Субъекты среднего предпринимательства</c:v>
                </c:pt>
                <c:pt idx="2">
                  <c:v>Малые предприятия (включая микропредприятия)</c:v>
                </c:pt>
                <c:pt idx="3">
                  <c:v>Индивидуальные предприниматели, осуществляющие деятельность вне рынка</c:v>
                </c:pt>
                <c:pt idx="4">
                  <c:v>Продажа товаров на розничных рынках и ярмарках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82.7</c:v>
                </c:pt>
                <c:pt idx="1">
                  <c:v>1.2</c:v>
                </c:pt>
                <c:pt idx="2">
                  <c:v>8.4</c:v>
                </c:pt>
                <c:pt idx="3">
                  <c:v>6.6</c:v>
                </c:pt>
                <c:pt idx="4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bg1">
            <a:lumMod val="6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93478419364252"/>
          <c:y val="0.17491094863142206"/>
          <c:w val="0.84433945756780626"/>
          <c:h val="0.470082489688790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 рублей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2587124526100472E-3"/>
                  <c:y val="-0.2460318306565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7965879265195E-2"/>
                  <c:y val="-0.241263526618817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пищевые продукты, включая напитки, и табачные изделия</c:v>
                </c:pt>
                <c:pt idx="1">
                  <c:v>непродовольственные товары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483884.5</c:v>
                </c:pt>
                <c:pt idx="1">
                  <c:v>491965.5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19"/>
        <c:shape val="cylinder"/>
        <c:axId val="69846528"/>
        <c:axId val="70264320"/>
        <c:axId val="0"/>
      </c:bar3DChart>
      <c:catAx>
        <c:axId val="6984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70264320"/>
        <c:crosses val="autoZero"/>
        <c:auto val="1"/>
        <c:lblAlgn val="ctr"/>
        <c:lblOffset val="100"/>
        <c:noMultiLvlLbl val="0"/>
      </c:catAx>
      <c:valAx>
        <c:axId val="70264320"/>
        <c:scaling>
          <c:orientation val="minMax"/>
          <c:max val="500000"/>
          <c:min val="400000"/>
        </c:scaling>
        <c:delete val="1"/>
        <c:axPos val="l"/>
        <c:numFmt formatCode="General" sourceLinked="1"/>
        <c:majorTickMark val="out"/>
        <c:minorTickMark val="none"/>
        <c:tickLblPos val="nextTo"/>
        <c:crossAx val="69846528"/>
        <c:crosses val="autoZero"/>
        <c:crossBetween val="between"/>
        <c:majorUnit val="10000"/>
        <c:minorUnit val="2000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bg1">
            <a:lumMod val="6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56441382327209"/>
          <c:y val="0.10938690003199165"/>
          <c:w val="0.84433945756780626"/>
          <c:h val="0.5356607946942412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 рублей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2587124526100472E-3"/>
                  <c:y val="-0.2460318306565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7965879265195E-2"/>
                  <c:y val="-0.241263526618817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пищевые продукты, включая напитки, и табачные изделия</c:v>
                </c:pt>
                <c:pt idx="1">
                  <c:v>непродовольственные товары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49.6</c:v>
                </c:pt>
                <c:pt idx="1">
                  <c:v>50.4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19"/>
        <c:shape val="cylinder"/>
        <c:axId val="100814208"/>
        <c:axId val="112522752"/>
        <c:axId val="0"/>
      </c:bar3DChart>
      <c:catAx>
        <c:axId val="10081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522752"/>
        <c:crosses val="autoZero"/>
        <c:auto val="1"/>
        <c:lblAlgn val="ctr"/>
        <c:lblOffset val="100"/>
        <c:noMultiLvlLbl val="0"/>
      </c:catAx>
      <c:valAx>
        <c:axId val="112522752"/>
        <c:scaling>
          <c:orientation val="minMax"/>
          <c:max val="60"/>
          <c:min val="40"/>
        </c:scaling>
        <c:delete val="1"/>
        <c:axPos val="l"/>
        <c:numFmt formatCode="General" sourceLinked="1"/>
        <c:majorTickMark val="out"/>
        <c:minorTickMark val="none"/>
        <c:tickLblPos val="nextTo"/>
        <c:crossAx val="100814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12E-2"/>
          <c:y val="0.15476190476190546"/>
          <c:w val="0.95447309945151004"/>
          <c:h val="0.6643267259374505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4.5526900548489978E-2"/>
                  <c:y val="-3.9001455632043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736943995411386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624804078714939E-2"/>
                  <c:y val="-3.503309959132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1735440150131241E-2"/>
                  <c:y val="4.3968951061694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179877696560446E-2"/>
                  <c:y val="4.7359640904840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119.4</c:v>
                </c:pt>
                <c:pt idx="1">
                  <c:v>116.3</c:v>
                </c:pt>
                <c:pt idx="2">
                  <c:v>93.3</c:v>
                </c:pt>
                <c:pt idx="3">
                  <c:v>55.6</c:v>
                </c:pt>
                <c:pt idx="4">
                  <c:v>42.3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3.5422342479818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971663985402751E-2"/>
                  <c:y val="5.5555243094613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457495978104076E-2"/>
                  <c:y val="5.493934040065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416427422315449E-2"/>
                  <c:y val="-8.4859681001413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694045703859203E-3"/>
                  <c:y val="-2.3614894986545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93.9</c:v>
                </c:pt>
                <c:pt idx="1">
                  <c:v>99.5</c:v>
                </c:pt>
                <c:pt idx="2">
                  <c:v>90.7</c:v>
                </c:pt>
                <c:pt idx="3">
                  <c:v>60.1</c:v>
                </c:pt>
                <c:pt idx="4">
                  <c:v>81.900000000000006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13408"/>
        <c:axId val="134966272"/>
      </c:lineChart>
      <c:catAx>
        <c:axId val="13451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966272"/>
        <c:crosses val="autoZero"/>
        <c:auto val="1"/>
        <c:lblAlgn val="ctr"/>
        <c:lblOffset val="100"/>
        <c:noMultiLvlLbl val="0"/>
      </c:catAx>
      <c:valAx>
        <c:axId val="134966272"/>
        <c:scaling>
          <c:orientation val="minMax"/>
          <c:min val="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4513408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895E-2"/>
          <c:y val="0.91289870016247965"/>
          <c:w val="0.93045461359962656"/>
          <c:h val="6.3291776027996502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73011528539063"/>
          <c:y val="0.11623403679406805"/>
          <c:w val="0.7986111111111116"/>
          <c:h val="0.519347401238216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explosion val="38"/>
          <c:dPt>
            <c:idx val="0"/>
            <c:bubble3D val="0"/>
            <c:explosion val="23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0">
                    <a:srgbClr val="D6B19C"/>
                  </a:gs>
                  <a:gs pos="30000">
                    <a:srgbClr val="D49E6C"/>
                  </a:gs>
                  <a:gs pos="70000">
                    <a:srgbClr val="A65528"/>
                  </a:gs>
                  <a:gs pos="100000">
                    <a:srgbClr val="663012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2.9210767648321648E-2"/>
                  <c:y val="-0.261720560382736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295219766760685E-3"/>
                  <c:y val="3.6679475623448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55005103528725E-2"/>
                  <c:y val="-6.45790748146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723680373287001E-3"/>
                  <c:y val="-8.7167761917173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335881223053232E-2"/>
                  <c:y val="3.3041148013395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noFill/>
                </a:ln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Организации, не относящиеся к субъектам малого и среднего предпринимательства</c:v>
                </c:pt>
                <c:pt idx="1">
                  <c:v>Субъекты среднего предпринимательства</c:v>
                </c:pt>
                <c:pt idx="2">
                  <c:v>Малые предприятия (включая микропредприятия)</c:v>
                </c:pt>
                <c:pt idx="3">
                  <c:v>Индивидуальные предприниматели, осуществляющие деятельность вне рынка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71.099999999999994</c:v>
                </c:pt>
                <c:pt idx="1">
                  <c:v>2.8</c:v>
                </c:pt>
                <c:pt idx="2">
                  <c:v>21.3</c:v>
                </c:pt>
                <c:pt idx="3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12E-2"/>
          <c:y val="0.15476190476190546"/>
          <c:w val="0.95447309945151004"/>
          <c:h val="0.5737932469908146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1.8624641133473195E-2"/>
                  <c:y val="4.3650793650793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389883805377552E-2"/>
                  <c:y val="6.80708661417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735277204889463E-2"/>
                  <c:y val="6.8986472844740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2429485853990533E-2"/>
                  <c:y val="2.1367521367521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94045703859203E-3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99.8</c:v>
                </c:pt>
                <c:pt idx="1">
                  <c:v>101.4</c:v>
                </c:pt>
                <c:pt idx="2">
                  <c:v>96.3</c:v>
                </c:pt>
                <c:pt idx="3" formatCode="0.0">
                  <c:v>63.2</c:v>
                </c:pt>
                <c:pt idx="4">
                  <c:v>59.4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0"/>
              <c:layout>
                <c:manualLayout>
                  <c:x val="-4.1388091407718194E-2"/>
                  <c:y val="-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249445212188072E-2"/>
                  <c:y val="-4.700888350494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082137111576802E-3"/>
                  <c:y val="-1.9841269841269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4928226694646E-2"/>
                  <c:y val="-6.3492496130291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101.9</c:v>
                </c:pt>
                <c:pt idx="1">
                  <c:v>102</c:v>
                </c:pt>
                <c:pt idx="2">
                  <c:v>97</c:v>
                </c:pt>
                <c:pt idx="3">
                  <c:v>64.5</c:v>
                </c:pt>
                <c:pt idx="4">
                  <c:v>90.2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952512"/>
        <c:axId val="55954048"/>
      </c:lineChart>
      <c:catAx>
        <c:axId val="5595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55954048"/>
        <c:crosses val="autoZero"/>
        <c:auto val="1"/>
        <c:lblAlgn val="ctr"/>
        <c:lblOffset val="100"/>
        <c:noMultiLvlLbl val="0"/>
      </c:catAx>
      <c:valAx>
        <c:axId val="55954048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952512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895E-2"/>
          <c:y val="0.91289870016247965"/>
          <c:w val="0.93045461359962656"/>
          <c:h val="6.3291776027996502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43208431344451"/>
          <c:y val="5.9610202147233858E-2"/>
          <c:w val="0.75194409057933065"/>
          <c:h val="0.489627982182794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3"/>
            </a:solidFill>
          </c:spPr>
          <c:explosion val="4"/>
          <c:dPt>
            <c:idx val="0"/>
            <c:bubble3D val="0"/>
            <c:explosion val="9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Pt>
            <c:idx val="1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Pt>
            <c:idx val="2"/>
            <c:bubble3D val="0"/>
            <c:spPr>
              <a:solidFill>
                <a:schemeClr val="accent6"/>
              </a:solidFill>
            </c:spPr>
          </c:dPt>
          <c:dPt>
            <c:idx val="4"/>
            <c:bubble3D val="0"/>
            <c:explosion val="1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5"/>
            <c:bubble3D val="0"/>
            <c:explosion val="5"/>
            <c:spPr>
              <a:solidFill>
                <a:schemeClr val="accent2"/>
              </a:solidFill>
            </c:spPr>
          </c:dPt>
          <c:dPt>
            <c:idx val="6"/>
            <c:bubble3D val="0"/>
            <c:explosion val="8"/>
            <c:spPr>
              <a:solidFill>
                <a:schemeClr val="bg1">
                  <a:lumMod val="75000"/>
                </a:schemeClr>
              </a:solidFill>
            </c:spPr>
          </c:dPt>
          <c:dPt>
            <c:idx val="7"/>
            <c:bubble3D val="0"/>
            <c:spPr>
              <a:solidFill>
                <a:srgbClr val="FFFF00"/>
              </a:solidFill>
            </c:spPr>
          </c:dPt>
          <c:dPt>
            <c:idx val="8"/>
            <c:bubble3D val="0"/>
            <c:spPr>
              <a:solidFill>
                <a:srgbClr val="FF0000"/>
              </a:solidFill>
            </c:spPr>
          </c:dPt>
          <c:dPt>
            <c:idx val="9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10"/>
            <c:bubble3D val="0"/>
            <c:spPr>
              <a:solidFill>
                <a:schemeClr val="accent2">
                  <a:lumMod val="50000"/>
                </a:schemeClr>
              </a:solidFill>
            </c:spPr>
          </c:dPt>
          <c:dPt>
            <c:idx val="1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2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3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</c:spPr>
          </c:dPt>
          <c:dPt>
            <c:idx val="14"/>
            <c:bubble3D val="0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-1.5197714389196499E-2"/>
                  <c:y val="-1.0403479571788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297067567522799E-3"/>
                  <c:y val="-2.657304154528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130185514478235E-4"/>
                  <c:y val="-3.3109752063412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351608109913814E-3"/>
                  <c:y val="-3.9963634282197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335881223053232E-2"/>
                  <c:y val="3.3041148013395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656035376614503E-2"/>
                  <c:y val="7.62500591599558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490021249084043E-3"/>
                  <c:y val="2.8753596987265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4215246999896726E-3"/>
                  <c:y val="-3.3916309786555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5.0746772977113535E-3"/>
                  <c:y val="-7.1233542691434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359391833770548E-2"/>
                  <c:y val="-7.7569542992747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1566366303583263E-2"/>
                  <c:y val="-1.349627533873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7.9051892596610079E-3"/>
                  <c:y val="-6.24196384787753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9336555969969419E-2"/>
                  <c:y val="-4.86883339540485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4525337130906211E-2"/>
                  <c:y val="-4.4275187087940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1072406998910202E-4"/>
                  <c:y val="-2.7709160488632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noFill/>
                </a:ln>
              </c:spPr>
            </c:leaderLines>
          </c:dLbls>
          <c:cat>
            <c:strRef>
              <c:f>Лист1!$A$2:$A$16</c:f>
              <c:strCache>
                <c:ptCount val="15"/>
                <c:pt idx="0">
                  <c:v>бытовые</c:v>
                </c:pt>
                <c:pt idx="1">
                  <c:v>транспортные</c:v>
                </c:pt>
                <c:pt idx="2">
                  <c:v>услуги почтовой связи, курьерские услуги</c:v>
                </c:pt>
                <c:pt idx="3">
                  <c:v>телекоммуникационные</c:v>
                </c:pt>
                <c:pt idx="4">
                  <c:v>жилищные</c:v>
                </c:pt>
                <c:pt idx="5">
                  <c:v>коммунальные</c:v>
                </c:pt>
                <c:pt idx="6">
                  <c:v>учреждений культуры</c:v>
                </c:pt>
                <c:pt idx="7">
                  <c:v>услуги туристических агентств, туроператоров и прочие услуги по бронированию и сопутствующие им услуги</c:v>
                </c:pt>
                <c:pt idx="8">
                  <c:v>услуги гостиниц и аналогичные услуги по предоставлению временного жилья</c:v>
                </c:pt>
                <c:pt idx="9">
                  <c:v>физической культуры и спорта</c:v>
                </c:pt>
                <c:pt idx="10">
                  <c:v>медицинские</c:v>
                </c:pt>
                <c:pt idx="11">
                  <c:v>услуги специализированных коллективных средств размещения</c:v>
                </c:pt>
                <c:pt idx="12">
                  <c:v>юридические</c:v>
                </c:pt>
                <c:pt idx="13">
                  <c:v>системы образования</c:v>
                </c:pt>
                <c:pt idx="14">
                  <c:v>Другие услуги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11.9</c:v>
                </c:pt>
                <c:pt idx="1">
                  <c:v>6.2</c:v>
                </c:pt>
                <c:pt idx="2">
                  <c:v>0.60000000000000064</c:v>
                </c:pt>
                <c:pt idx="3">
                  <c:v>8</c:v>
                </c:pt>
                <c:pt idx="4">
                  <c:v>14.5</c:v>
                </c:pt>
                <c:pt idx="5">
                  <c:v>37.200000000000003</c:v>
                </c:pt>
                <c:pt idx="6">
                  <c:v>0.9</c:v>
                </c:pt>
                <c:pt idx="7">
                  <c:v>1</c:v>
                </c:pt>
                <c:pt idx="8">
                  <c:v>1.5</c:v>
                </c:pt>
                <c:pt idx="9">
                  <c:v>0.9</c:v>
                </c:pt>
                <c:pt idx="10">
                  <c:v>6.7</c:v>
                </c:pt>
                <c:pt idx="11">
                  <c:v>1.1000000000000001</c:v>
                </c:pt>
                <c:pt idx="12">
                  <c:v>1.7</c:v>
                </c:pt>
                <c:pt idx="13">
                  <c:v>5.4</c:v>
                </c:pt>
                <c:pt idx="14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1.6036009706926081E-2"/>
          <c:y val="0.54637974934486455"/>
          <c:w val="0.95867305304762263"/>
          <c:h val="0.44229096067948231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12E-2"/>
          <c:y val="0.15476190476190546"/>
          <c:w val="0.95447309945151004"/>
          <c:h val="0.5737932469908146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периоду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4.7596305118875894E-2"/>
                  <c:y val="-5.8913453126051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112265523833916E-2"/>
                  <c:y val="4.670334477421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151704627204917E-2"/>
                  <c:y val="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180203587043969E-2"/>
                  <c:y val="2.9914529914529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10473126174537E-2"/>
                  <c:y val="5.4334410121811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94.6</c:v>
                </c:pt>
                <c:pt idx="1">
                  <c:v>96.5</c:v>
                </c:pt>
                <c:pt idx="2">
                  <c:v>103.8</c:v>
                </c:pt>
                <c:pt idx="3">
                  <c:v>76.099999999999994</c:v>
                </c:pt>
                <c:pt idx="4">
                  <c:v>87.1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457495978104034E-2"/>
                  <c:y val="-5.5555892051955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082137111576802E-3"/>
                  <c:y val="-1.9841269841269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318686837332237E-2"/>
                  <c:y val="-0.11477421091594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596305118875894E-2"/>
                  <c:y val="-4.7008547008547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60.8</c:v>
                </c:pt>
                <c:pt idx="1">
                  <c:v>112.6</c:v>
                </c:pt>
                <c:pt idx="2">
                  <c:v>126.3</c:v>
                </c:pt>
                <c:pt idx="3">
                  <c:v>77.3</c:v>
                </c:pt>
                <c:pt idx="4">
                  <c:v>102.1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065152"/>
        <c:axId val="66066688"/>
      </c:lineChart>
      <c:catAx>
        <c:axId val="6606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66066688"/>
        <c:crosses val="autoZero"/>
        <c:auto val="1"/>
        <c:lblAlgn val="ctr"/>
        <c:lblOffset val="100"/>
        <c:noMultiLvlLbl val="0"/>
      </c:catAx>
      <c:valAx>
        <c:axId val="66066688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6065152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895E-2"/>
          <c:y val="0.91289870016247965"/>
          <c:w val="0.93045461359962656"/>
          <c:h val="6.3291776027996502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0.82533</cdr:x>
      <cdr:y>0.01961</cdr:y>
    </cdr:from>
    <cdr:to>
      <cdr:x>0.9699</cdr:x>
      <cdr:y>0.1034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484079" y="64476"/>
          <a:ext cx="785446" cy="2754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i="1">
              <a:latin typeface="Arial" panose="020B0604020202020204" pitchFamily="34" charset="0"/>
              <a:cs typeface="Arial" panose="020B0604020202020204" pitchFamily="34" charset="0"/>
            </a:rPr>
            <a:t>процентов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0.80769</cdr:x>
      <cdr:y>0.04234</cdr:y>
    </cdr:from>
    <cdr:to>
      <cdr:x>0.96368</cdr:x>
      <cdr:y>0.13106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431324" y="123092"/>
          <a:ext cx="855784" cy="2579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0" i="1">
              <a:latin typeface="Arial" panose="020B0604020202020204" pitchFamily="34" charset="0"/>
              <a:cs typeface="Arial" panose="020B0604020202020204" pitchFamily="34" charset="0"/>
            </a:rPr>
            <a:t>млн. рублей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0.82158</cdr:x>
      <cdr:y>0.02823</cdr:y>
    </cdr:from>
    <cdr:to>
      <cdr:x>0.9797</cdr:x>
      <cdr:y>0.13913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507524" y="82061"/>
          <a:ext cx="867507" cy="322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i="1">
              <a:latin typeface="Arial" panose="020B0604020202020204" pitchFamily="34" charset="0"/>
              <a:cs typeface="Arial" panose="020B0604020202020204" pitchFamily="34" charset="0"/>
            </a:rPr>
            <a:t>процентов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0.80591</cdr:x>
      <cdr:y>0.03387</cdr:y>
    </cdr:from>
    <cdr:to>
      <cdr:x>0.98069</cdr:x>
      <cdr:y>0.10874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378570" y="111369"/>
          <a:ext cx="949569" cy="246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i="1">
              <a:latin typeface="Arial" panose="020B0604020202020204" pitchFamily="34" charset="0"/>
              <a:cs typeface="Arial" panose="020B0604020202020204" pitchFamily="34" charset="0"/>
            </a:rPr>
            <a:t>процентов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0.80591</cdr:x>
      <cdr:y>0.03387</cdr:y>
    </cdr:from>
    <cdr:to>
      <cdr:x>0.98069</cdr:x>
      <cdr:y>0.10874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378570" y="111369"/>
          <a:ext cx="949569" cy="246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i="1">
              <a:latin typeface="Arial" panose="020B0604020202020204" pitchFamily="34" charset="0"/>
              <a:cs typeface="Arial" panose="020B0604020202020204" pitchFamily="34" charset="0"/>
            </a:rPr>
            <a:t>процентов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B9FF-3B9C-450A-9503-242988BC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Коврижко Марина Александровна</cp:lastModifiedBy>
  <cp:revision>15</cp:revision>
  <cp:lastPrinted>2020-06-29T14:47:00Z</cp:lastPrinted>
  <dcterms:created xsi:type="dcterms:W3CDTF">2020-07-02T13:42:00Z</dcterms:created>
  <dcterms:modified xsi:type="dcterms:W3CDTF">2020-07-08T11:55:00Z</dcterms:modified>
</cp:coreProperties>
</file>